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5878C298"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w:t>
      </w:r>
      <w:r w:rsidR="00395E10">
        <w:rPr>
          <w:rFonts w:ascii="Arial" w:eastAsia="MS Mincho" w:hAnsi="Arial"/>
          <w:b/>
          <w:sz w:val="24"/>
          <w:szCs w:val="24"/>
          <w:lang w:eastAsia="x-none"/>
        </w:rPr>
        <w:t>9</w:t>
      </w:r>
      <w:r w:rsidR="000862F0">
        <w:rPr>
          <w:rFonts w:ascii="Arial" w:eastAsia="MS Mincho" w:hAnsi="Arial"/>
          <w:b/>
          <w:sz w:val="24"/>
          <w:szCs w:val="24"/>
          <w:lang w:eastAsia="x-none"/>
        </w:rPr>
        <w:t>-e</w:t>
      </w:r>
      <w:r w:rsidR="00733538">
        <w:rPr>
          <w:rFonts w:ascii="Arial" w:eastAsia="MS Mincho" w:hAnsi="Arial"/>
          <w:b/>
          <w:sz w:val="24"/>
          <w:szCs w:val="24"/>
          <w:lang w:eastAsia="x-none"/>
        </w:rPr>
        <w:tab/>
      </w:r>
      <w:r w:rsidR="00733538" w:rsidRPr="005C4439">
        <w:rPr>
          <w:rFonts w:ascii="Arial" w:eastAsia="MS Mincho" w:hAnsi="Arial" w:cs="Arial"/>
          <w:b/>
          <w:sz w:val="24"/>
          <w:szCs w:val="24"/>
          <w:lang w:eastAsia="x-none"/>
        </w:rPr>
        <w:t>R2-2</w:t>
      </w:r>
      <w:r w:rsidR="008F13D7" w:rsidRPr="005C4439">
        <w:rPr>
          <w:rFonts w:ascii="Arial" w:eastAsia="MS Mincho" w:hAnsi="Arial" w:cs="Arial"/>
          <w:b/>
          <w:sz w:val="24"/>
          <w:szCs w:val="24"/>
          <w:lang w:eastAsia="x-none"/>
        </w:rPr>
        <w:t>2</w:t>
      </w:r>
      <w:r w:rsidR="005C4439" w:rsidRPr="005C4439">
        <w:rPr>
          <w:rFonts w:ascii="Arial" w:eastAsia="新細明體" w:hAnsi="Arial" w:cs="Arial"/>
          <w:b/>
          <w:sz w:val="24"/>
          <w:szCs w:val="24"/>
          <w:lang w:eastAsia="zh-TW"/>
        </w:rPr>
        <w:t>0</w:t>
      </w:r>
      <w:r w:rsidR="004C69BF">
        <w:rPr>
          <w:rFonts w:ascii="Arial" w:eastAsia="新細明體" w:hAnsi="Arial" w:cs="Arial"/>
          <w:b/>
          <w:sz w:val="24"/>
          <w:szCs w:val="24"/>
          <w:lang w:eastAsia="zh-TW"/>
        </w:rPr>
        <w:t>8390</w:t>
      </w:r>
    </w:p>
    <w:p w14:paraId="7791F180" w14:textId="40BF64A2"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Onli</w:t>
      </w:r>
      <w:r w:rsidRPr="0057783E">
        <w:rPr>
          <w:rFonts w:ascii="Arial" w:eastAsia="MS Mincho" w:hAnsi="Arial" w:cs="Arial"/>
          <w:b/>
          <w:sz w:val="24"/>
          <w:szCs w:val="24"/>
          <w:lang w:eastAsia="x-none"/>
        </w:rPr>
        <w:t xml:space="preserve">ne, </w:t>
      </w:r>
      <w:r w:rsidR="0057783E" w:rsidRPr="0057783E">
        <w:rPr>
          <w:rFonts w:ascii="Arial" w:eastAsia="新細明體" w:hAnsi="Arial" w:cs="Arial"/>
          <w:b/>
          <w:sz w:val="24"/>
          <w:szCs w:val="24"/>
          <w:lang w:eastAsia="zh-TW"/>
        </w:rPr>
        <w:t>17</w:t>
      </w:r>
      <w:r w:rsidR="00BF7401" w:rsidRPr="0057783E">
        <w:rPr>
          <w:rFonts w:ascii="Arial" w:eastAsia="MS Mincho" w:hAnsi="Arial" w:cs="Arial"/>
          <w:b/>
          <w:sz w:val="24"/>
          <w:szCs w:val="24"/>
          <w:lang w:eastAsia="x-none"/>
        </w:rPr>
        <w:t>-</w:t>
      </w:r>
      <w:r w:rsidR="0057783E" w:rsidRPr="0057783E">
        <w:rPr>
          <w:rFonts w:ascii="Arial" w:eastAsia="新細明體" w:hAnsi="Arial" w:cs="Arial"/>
          <w:b/>
          <w:sz w:val="24"/>
          <w:szCs w:val="24"/>
          <w:lang w:eastAsia="zh-TW"/>
        </w:rPr>
        <w:t>29</w:t>
      </w:r>
      <w:r w:rsidRPr="0057783E">
        <w:rPr>
          <w:rFonts w:ascii="Arial" w:eastAsia="MS Mincho" w:hAnsi="Arial" w:cs="Arial"/>
          <w:b/>
          <w:sz w:val="24"/>
          <w:szCs w:val="24"/>
          <w:lang w:eastAsia="x-none"/>
        </w:rPr>
        <w:t xml:space="preserve"> </w:t>
      </w:r>
      <w:r w:rsidR="00395E10" w:rsidRPr="0057783E">
        <w:rPr>
          <w:rFonts w:ascii="Arial" w:eastAsia="MS Mincho" w:hAnsi="Arial" w:cs="Arial"/>
          <w:b/>
          <w:sz w:val="24"/>
          <w:szCs w:val="24"/>
          <w:lang w:eastAsia="x-none"/>
        </w:rPr>
        <w:t>Au</w:t>
      </w:r>
      <w:r w:rsidR="00395E10">
        <w:rPr>
          <w:rFonts w:ascii="Arial" w:eastAsia="MS Mincho" w:hAnsi="Arial"/>
          <w:b/>
          <w:sz w:val="24"/>
          <w:szCs w:val="24"/>
          <w:lang w:eastAsia="x-none"/>
        </w:rPr>
        <w:t>gust</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2E8DD0D1"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5C4439">
        <w:rPr>
          <w:rFonts w:ascii="Arial" w:eastAsia="新細明體" w:hAnsi="Arial" w:cs="Arial" w:hint="eastAsia"/>
          <w:b/>
          <w:sz w:val="24"/>
          <w:szCs w:val="24"/>
          <w:lang w:eastAsia="zh-TW"/>
        </w:rPr>
        <w:t>8</w:t>
      </w:r>
      <w:r w:rsidR="00540CBB">
        <w:rPr>
          <w:rFonts w:ascii="Arial" w:eastAsia="新細明體" w:hAnsi="Arial" w:cs="Arial"/>
          <w:b/>
          <w:sz w:val="24"/>
          <w:szCs w:val="24"/>
          <w:lang w:eastAsia="zh-CN"/>
        </w:rPr>
        <w:t>.</w:t>
      </w:r>
      <w:r w:rsidR="00D51CE4">
        <w:rPr>
          <w:rFonts w:ascii="Arial" w:eastAsia="新細明體" w:hAnsi="Arial" w:cs="Arial"/>
          <w:b/>
          <w:sz w:val="24"/>
          <w:szCs w:val="24"/>
          <w:lang w:eastAsia="zh-CN"/>
        </w:rPr>
        <w:t>1</w:t>
      </w:r>
      <w:r w:rsidR="005C4439">
        <w:rPr>
          <w:rFonts w:ascii="Arial" w:eastAsia="新細明體" w:hAnsi="Arial" w:cs="Arial" w:hint="eastAsia"/>
          <w:b/>
          <w:sz w:val="24"/>
          <w:szCs w:val="24"/>
          <w:lang w:eastAsia="zh-TW"/>
        </w:rPr>
        <w:t>.</w:t>
      </w:r>
      <w:r w:rsidR="00D51CE4">
        <w:rPr>
          <w:rFonts w:ascii="Arial" w:eastAsia="新細明體" w:hAnsi="Arial" w:cs="Arial"/>
          <w:b/>
          <w:sz w:val="24"/>
          <w:szCs w:val="24"/>
          <w:lang w:eastAsia="zh-TW"/>
        </w:rPr>
        <w:t>2</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0360EF82"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D51CE4" w:rsidRPr="00D51CE4">
        <w:rPr>
          <w:rFonts w:ascii="Arial" w:eastAsia="新細明體" w:hAnsi="Arial" w:cs="Arial"/>
          <w:b/>
          <w:sz w:val="24"/>
          <w:szCs w:val="24"/>
          <w:lang w:eastAsia="zh-CN"/>
        </w:rPr>
        <w:t>Identification and authorization of network-controlled repeaters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3A01D9D8" w:rsidR="00A32E79" w:rsidRPr="00467897" w:rsidRDefault="00A32E79" w:rsidP="00467897">
      <w:pPr>
        <w:pStyle w:val="af9"/>
        <w:keepNext/>
        <w:keepLines/>
        <w:numPr>
          <w:ilvl w:val="0"/>
          <w:numId w:val="31"/>
        </w:numPr>
        <w:pBdr>
          <w:top w:val="single" w:sz="12" w:space="3" w:color="auto"/>
        </w:pBdr>
        <w:tabs>
          <w:tab w:val="num" w:pos="432"/>
        </w:tabs>
        <w:spacing w:before="240"/>
        <w:outlineLvl w:val="0"/>
        <w:rPr>
          <w:rFonts w:ascii="Arial" w:eastAsia="新細明體" w:hAnsi="Arial" w:cs="Arial"/>
          <w:sz w:val="36"/>
        </w:rPr>
      </w:pPr>
      <w:r w:rsidRPr="00467897">
        <w:rPr>
          <w:rFonts w:ascii="Arial" w:eastAsia="新細明體" w:hAnsi="Arial" w:cs="Arial"/>
          <w:sz w:val="36"/>
        </w:rPr>
        <w:t>Introduction</w:t>
      </w:r>
      <w:bookmarkStart w:id="8" w:name="OLE_LINK39"/>
      <w:bookmarkStart w:id="9" w:name="OLE_LINK38"/>
      <w:bookmarkStart w:id="10" w:name="OLE_LINK37"/>
    </w:p>
    <w:p w14:paraId="5639500A" w14:textId="1DE59DB4" w:rsidR="00002806" w:rsidRDefault="00F2007C" w:rsidP="00002806">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[1], </w:t>
      </w:r>
      <w:r w:rsidR="00F87AE9">
        <w:rPr>
          <w:rFonts w:ascii="Calibri" w:eastAsia="新細明體" w:hAnsi="Calibri"/>
          <w:sz w:val="22"/>
          <w:szCs w:val="22"/>
          <w:lang w:eastAsia="zh-TW"/>
        </w:rPr>
        <w:t xml:space="preserve">the </w:t>
      </w:r>
      <w:r w:rsidR="00002806">
        <w:rPr>
          <w:rFonts w:ascii="Calibri" w:eastAsia="新細明體" w:hAnsi="Calibri"/>
          <w:sz w:val="22"/>
          <w:szCs w:val="22"/>
          <w:lang w:eastAsia="zh-TW"/>
        </w:rPr>
        <w:t>last</w:t>
      </w:r>
      <w:r>
        <w:rPr>
          <w:rFonts w:ascii="Calibri" w:eastAsia="新細明體" w:hAnsi="Calibri"/>
          <w:sz w:val="22"/>
          <w:szCs w:val="22"/>
          <w:lang w:eastAsia="zh-TW"/>
        </w:rPr>
        <w:t xml:space="preserve"> objective is to study</w:t>
      </w:r>
      <w:r w:rsidR="00002806" w:rsidRPr="00002806">
        <w:rPr>
          <w:rFonts w:ascii="Calibri" w:eastAsia="新細明體" w:hAnsi="Calibri"/>
          <w:sz w:val="22"/>
          <w:szCs w:val="22"/>
          <w:lang w:eastAsia="zh-TW"/>
        </w:rPr>
        <w:t xml:space="preserve"> the following aspects of smart repeater management</w:t>
      </w:r>
    </w:p>
    <w:p w14:paraId="765D1037" w14:textId="77777777" w:rsidR="00002806" w:rsidRDefault="00002806" w:rsidP="00002806">
      <w:pPr>
        <w:pStyle w:val="af9"/>
        <w:numPr>
          <w:ilvl w:val="0"/>
          <w:numId w:val="35"/>
        </w:numPr>
        <w:spacing w:after="240"/>
        <w:rPr>
          <w:rFonts w:ascii="Calibri" w:eastAsia="新細明體" w:hAnsi="Calibri"/>
          <w:sz w:val="22"/>
          <w:szCs w:val="22"/>
          <w:lang w:eastAsia="zh-TW"/>
        </w:rPr>
      </w:pPr>
      <w:r w:rsidRPr="00002806">
        <w:rPr>
          <w:rFonts w:ascii="Calibri" w:eastAsia="新細明體" w:hAnsi="Calibri"/>
          <w:sz w:val="22"/>
          <w:szCs w:val="22"/>
          <w:lang w:eastAsia="zh-TW"/>
        </w:rPr>
        <w:t>Identification and authorization of smart repeaters [RAN2, RAN3]</w:t>
      </w:r>
    </w:p>
    <w:p w14:paraId="259DA8A7" w14:textId="5A186EBC" w:rsidR="00467897" w:rsidRPr="00002806" w:rsidRDefault="00002806" w:rsidP="00002806">
      <w:pPr>
        <w:pStyle w:val="af9"/>
        <w:numPr>
          <w:ilvl w:val="1"/>
          <w:numId w:val="35"/>
        </w:numPr>
        <w:spacing w:after="240"/>
        <w:rPr>
          <w:rFonts w:ascii="Calibri" w:eastAsia="新細明體" w:hAnsi="Calibri"/>
          <w:sz w:val="22"/>
          <w:szCs w:val="22"/>
          <w:lang w:eastAsia="zh-TW"/>
        </w:rPr>
      </w:pPr>
      <w:r w:rsidRPr="00002806">
        <w:rPr>
          <w:rFonts w:ascii="Calibri" w:eastAsia="新細明體" w:hAnsi="Calibri"/>
          <w:sz w:val="22"/>
          <w:szCs w:val="22"/>
          <w:lang w:eastAsia="zh-TW"/>
        </w:rPr>
        <w:t>NOTE2: Coordination with SA3 may be needed.</w:t>
      </w:r>
    </w:p>
    <w:p w14:paraId="6A5FFBF5" w14:textId="33BE8758" w:rsidR="003D23E0" w:rsidRDefault="003D23E0" w:rsidP="00F2007C">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 xml:space="preserve">his paper will </w:t>
      </w:r>
      <w:r w:rsidR="00467897">
        <w:rPr>
          <w:rFonts w:ascii="Calibri" w:eastAsia="新細明體" w:hAnsi="Calibri"/>
          <w:sz w:val="22"/>
          <w:szCs w:val="22"/>
          <w:lang w:eastAsia="zh-TW"/>
        </w:rPr>
        <w:t>introduce our views about</w:t>
      </w:r>
      <w:r w:rsidR="00684D11">
        <w:rPr>
          <w:rFonts w:ascii="Calibri" w:eastAsia="新細明體" w:hAnsi="Calibri"/>
          <w:sz w:val="22"/>
          <w:szCs w:val="22"/>
          <w:lang w:eastAsia="zh-TW"/>
        </w:rPr>
        <w:t xml:space="preserve"> i</w:t>
      </w:r>
      <w:r w:rsidR="00684D11" w:rsidRPr="00684D11">
        <w:rPr>
          <w:rFonts w:ascii="Calibri" w:eastAsia="新細明體" w:hAnsi="Calibri"/>
          <w:sz w:val="22"/>
          <w:szCs w:val="22"/>
          <w:lang w:eastAsia="zh-TW"/>
        </w:rPr>
        <w:t>dentification and authorization of network-controlled repeaters</w:t>
      </w:r>
      <w:r w:rsidR="00684D11">
        <w:rPr>
          <w:rFonts w:ascii="Calibri" w:eastAsia="新細明體" w:hAnsi="Calibri"/>
          <w:sz w:val="22"/>
          <w:szCs w:val="22"/>
          <w:lang w:eastAsia="zh-TW"/>
        </w:rPr>
        <w:t xml:space="preserve"> (NCR)</w:t>
      </w:r>
      <w:r w:rsidR="00AA6D18">
        <w:rPr>
          <w:rFonts w:ascii="Calibri" w:eastAsia="新細明體" w:hAnsi="Calibri" w:hint="eastAsia"/>
          <w:sz w:val="22"/>
          <w:szCs w:val="22"/>
          <w:lang w:eastAsia="zh-TW"/>
        </w:rPr>
        <w:t>.</w:t>
      </w:r>
      <w:r w:rsidR="00467897">
        <w:rPr>
          <w:rFonts w:ascii="Calibri" w:eastAsia="新細明體" w:hAnsi="Calibri"/>
          <w:sz w:val="22"/>
          <w:szCs w:val="22"/>
          <w:lang w:eastAsia="zh-TW"/>
        </w:rPr>
        <w:t xml:space="preserve"> </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5D62D866" w14:textId="594CF279" w:rsidR="00F06CE7" w:rsidRDefault="00F06CE7" w:rsidP="00F06CE7">
      <w:pPr>
        <w:pStyle w:val="2"/>
        <w:rPr>
          <w:rFonts w:eastAsia="新細明體"/>
          <w:lang w:eastAsia="zh-TW"/>
        </w:rPr>
      </w:pPr>
      <w:r>
        <w:rPr>
          <w:rFonts w:eastAsia="新細明體"/>
          <w:lang w:eastAsia="zh-TW"/>
        </w:rPr>
        <w:t>2.1</w:t>
      </w:r>
      <w:r>
        <w:rPr>
          <w:rFonts w:eastAsia="新細明體"/>
          <w:lang w:eastAsia="zh-TW"/>
        </w:rPr>
        <w:tab/>
      </w:r>
      <w:r w:rsidR="0097347B" w:rsidRPr="0097347B">
        <w:rPr>
          <w:rFonts w:eastAsia="新細明體"/>
          <w:lang w:eastAsia="zh-TW"/>
        </w:rPr>
        <w:t>Identification</w:t>
      </w:r>
    </w:p>
    <w:p w14:paraId="7D2D2DD4" w14:textId="7A213A61" w:rsidR="001A3870" w:rsidRDefault="00684D11" w:rsidP="001A3870">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 xml:space="preserve">A </w:t>
      </w:r>
      <w:r>
        <w:rPr>
          <w:rFonts w:ascii="Calibri" w:eastAsia="新細明體" w:hAnsi="Calibri"/>
          <w:sz w:val="22"/>
          <w:szCs w:val="22"/>
          <w:lang w:eastAsia="zh-TW"/>
        </w:rPr>
        <w:t>repeater can be deployed by operator to extend network coverage, there are two</w:t>
      </w:r>
      <w:r w:rsidR="008D51DE">
        <w:rPr>
          <w:rFonts w:ascii="Calibri" w:eastAsia="新細明體" w:hAnsi="Calibri"/>
          <w:sz w:val="22"/>
          <w:szCs w:val="22"/>
          <w:lang w:eastAsia="zh-TW"/>
        </w:rPr>
        <w:t xml:space="preserve"> NCR</w:t>
      </w:r>
      <w:r>
        <w:rPr>
          <w:rFonts w:ascii="Calibri" w:eastAsia="新細明體" w:hAnsi="Calibri"/>
          <w:sz w:val="22"/>
          <w:szCs w:val="22"/>
          <w:lang w:eastAsia="zh-TW"/>
        </w:rPr>
        <w:t xml:space="preserve"> </w:t>
      </w:r>
      <w:r w:rsidR="008D51DE">
        <w:rPr>
          <w:rFonts w:ascii="Calibri" w:eastAsia="新細明體" w:hAnsi="Calibri"/>
          <w:sz w:val="22"/>
          <w:szCs w:val="22"/>
          <w:lang w:eastAsia="zh-TW"/>
        </w:rPr>
        <w:t>scenario</w:t>
      </w:r>
      <w:r>
        <w:rPr>
          <w:rFonts w:ascii="Calibri" w:eastAsia="新細明體" w:hAnsi="Calibri"/>
          <w:sz w:val="22"/>
          <w:szCs w:val="22"/>
          <w:lang w:eastAsia="zh-TW"/>
        </w:rPr>
        <w:t>s.</w:t>
      </w:r>
      <w:r w:rsidR="008D51DE">
        <w:rPr>
          <w:rFonts w:ascii="Calibri" w:eastAsia="新細明體" w:hAnsi="Calibri"/>
          <w:sz w:val="22"/>
          <w:szCs w:val="22"/>
          <w:lang w:eastAsia="zh-TW"/>
        </w:rPr>
        <w:t xml:space="preserve"> </w:t>
      </w:r>
      <w:r>
        <w:rPr>
          <w:rFonts w:ascii="Calibri" w:eastAsia="新細明體" w:hAnsi="Calibri"/>
          <w:sz w:val="22"/>
          <w:szCs w:val="22"/>
          <w:lang w:eastAsia="zh-TW"/>
        </w:rPr>
        <w:t>One is without SIM card, the</w:t>
      </w:r>
      <w:r w:rsidR="008D51DE">
        <w:rPr>
          <w:rFonts w:ascii="Calibri" w:eastAsia="新細明體" w:hAnsi="Calibri"/>
          <w:sz w:val="22"/>
          <w:szCs w:val="22"/>
          <w:lang w:eastAsia="zh-TW"/>
        </w:rPr>
        <w:t xml:space="preserve"> identification</w:t>
      </w:r>
      <w:r>
        <w:rPr>
          <w:rFonts w:ascii="Calibri" w:eastAsia="新細明體" w:hAnsi="Calibri"/>
          <w:sz w:val="22"/>
          <w:szCs w:val="22"/>
          <w:lang w:eastAsia="zh-TW"/>
        </w:rPr>
        <w:t xml:space="preserve"> solution is up to network implementation, for example, network can use C-RNTI for UE identification</w:t>
      </w:r>
      <w:r w:rsidR="008D51DE">
        <w:rPr>
          <w:rFonts w:ascii="Calibri" w:eastAsia="新細明體" w:hAnsi="Calibri"/>
          <w:sz w:val="22"/>
          <w:szCs w:val="22"/>
          <w:lang w:eastAsia="zh-TW"/>
        </w:rPr>
        <w:t>. The other scenario is NCR with SIM card, then, legacy UE procedures can be followed.</w:t>
      </w:r>
    </w:p>
    <w:p w14:paraId="087126DF" w14:textId="59D46792" w:rsidR="008D51DE" w:rsidRPr="005B0067" w:rsidRDefault="008D51DE" w:rsidP="008D51DE">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roposal 1: RAN2 to study both NCR with and without SIM card scenarios.</w:t>
      </w:r>
    </w:p>
    <w:p w14:paraId="1506F6CC" w14:textId="0C817E11" w:rsidR="00AA6D18" w:rsidRDefault="00AA6D18" w:rsidP="00AA6D18">
      <w:pPr>
        <w:pStyle w:val="2"/>
        <w:rPr>
          <w:rFonts w:eastAsia="新細明體"/>
          <w:lang w:eastAsia="zh-TW"/>
        </w:rPr>
      </w:pPr>
      <w:r>
        <w:rPr>
          <w:rFonts w:eastAsia="新細明體"/>
          <w:lang w:eastAsia="zh-TW"/>
        </w:rPr>
        <w:t>2.</w:t>
      </w:r>
      <w:r>
        <w:rPr>
          <w:rFonts w:eastAsia="新細明體" w:hint="eastAsia"/>
          <w:lang w:eastAsia="zh-TW"/>
        </w:rPr>
        <w:t>2</w:t>
      </w:r>
      <w:r>
        <w:rPr>
          <w:rFonts w:eastAsia="新細明體"/>
          <w:lang w:eastAsia="zh-TW"/>
        </w:rPr>
        <w:tab/>
      </w:r>
      <w:r>
        <w:t>A</w:t>
      </w:r>
      <w:r w:rsidRPr="00AA6D18">
        <w:rPr>
          <w:rFonts w:eastAsia="新細明體"/>
          <w:lang w:eastAsia="zh-TW"/>
        </w:rPr>
        <w:t>uthorization</w:t>
      </w:r>
    </w:p>
    <w:p w14:paraId="3DE347B3" w14:textId="77777777" w:rsidR="00BD0C55" w:rsidRDefault="003951AF" w:rsidP="00AA6D18">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For authorization, several </w:t>
      </w:r>
      <w:proofErr w:type="spellStart"/>
      <w:r>
        <w:rPr>
          <w:rFonts w:ascii="Calibri" w:eastAsia="新細明體" w:hAnsi="Calibri"/>
          <w:sz w:val="22"/>
          <w:szCs w:val="22"/>
          <w:lang w:eastAsia="zh-TW"/>
        </w:rPr>
        <w:t>cadicate</w:t>
      </w:r>
      <w:proofErr w:type="spellEnd"/>
      <w:r>
        <w:rPr>
          <w:rFonts w:ascii="Calibri" w:eastAsia="新細明體" w:hAnsi="Calibri"/>
          <w:sz w:val="22"/>
          <w:szCs w:val="22"/>
          <w:lang w:eastAsia="zh-TW"/>
        </w:rPr>
        <w:t xml:space="preserve"> solutions are proposed, one is reuse IAB-</w:t>
      </w:r>
      <w:r w:rsidR="005C52DE">
        <w:rPr>
          <w:rFonts w:ascii="Calibri" w:eastAsia="新細明體" w:hAnsi="Calibri"/>
          <w:sz w:val="22"/>
          <w:szCs w:val="22"/>
          <w:lang w:eastAsia="zh-TW"/>
        </w:rPr>
        <w:t>UE</w:t>
      </w:r>
      <w:r>
        <w:rPr>
          <w:rFonts w:ascii="Calibri" w:eastAsia="新細明體" w:hAnsi="Calibri"/>
          <w:sz w:val="22"/>
          <w:szCs w:val="22"/>
          <w:lang w:eastAsia="zh-TW"/>
        </w:rPr>
        <w:t xml:space="preserve"> based solution, the other one is legacy UE solution. However, f</w:t>
      </w:r>
      <w:r w:rsidR="00E4163A">
        <w:rPr>
          <w:rFonts w:ascii="Calibri" w:eastAsia="新細明體" w:hAnsi="Calibri"/>
          <w:sz w:val="22"/>
          <w:szCs w:val="22"/>
          <w:lang w:eastAsia="zh-TW"/>
        </w:rPr>
        <w:t xml:space="preserve">rom </w:t>
      </w:r>
      <w:r w:rsidR="003151C9">
        <w:rPr>
          <w:rFonts w:ascii="Calibri" w:eastAsia="新細明體" w:hAnsi="Calibri" w:hint="eastAsia"/>
          <w:sz w:val="22"/>
          <w:szCs w:val="22"/>
          <w:lang w:eastAsia="zh-TW"/>
        </w:rPr>
        <w:t xml:space="preserve">TS 23.501 </w:t>
      </w:r>
      <w:r w:rsidR="00E4163A">
        <w:rPr>
          <w:rFonts w:ascii="Calibri" w:eastAsia="新細明體" w:hAnsi="Calibri"/>
          <w:sz w:val="22"/>
          <w:szCs w:val="22"/>
          <w:lang w:eastAsia="zh-TW"/>
        </w:rPr>
        <w:t>[2],</w:t>
      </w:r>
      <w:r w:rsidR="003151C9">
        <w:rPr>
          <w:rFonts w:ascii="Calibri" w:eastAsia="新細明體" w:hAnsi="Calibri"/>
          <w:sz w:val="22"/>
          <w:szCs w:val="22"/>
          <w:lang w:eastAsia="zh-TW"/>
        </w:rPr>
        <w:t xml:space="preserve"> subclause 5.35.2, </w:t>
      </w:r>
      <w:r w:rsidR="00E4163A">
        <w:rPr>
          <w:rFonts w:ascii="Calibri" w:eastAsia="新細明體" w:hAnsi="Calibri"/>
          <w:sz w:val="22"/>
          <w:szCs w:val="22"/>
          <w:lang w:eastAsia="zh-TW"/>
        </w:rPr>
        <w:t>it</w:t>
      </w:r>
      <w:r w:rsidR="003151C9">
        <w:rPr>
          <w:rFonts w:ascii="Calibri" w:eastAsia="新細明體" w:hAnsi="Calibri" w:hint="eastAsia"/>
          <w:sz w:val="22"/>
          <w:szCs w:val="22"/>
          <w:lang w:eastAsia="zh-TW"/>
        </w:rPr>
        <w:t xml:space="preserve"> s</w:t>
      </w:r>
      <w:r w:rsidR="003151C9">
        <w:rPr>
          <w:rFonts w:ascii="Calibri" w:eastAsia="新細明體" w:hAnsi="Calibri"/>
          <w:sz w:val="22"/>
          <w:szCs w:val="22"/>
          <w:lang w:eastAsia="zh-TW"/>
        </w:rPr>
        <w:t>tates that</w:t>
      </w:r>
    </w:p>
    <w:p w14:paraId="1FEFE589" w14:textId="41F7AB98" w:rsidR="00BD0C55" w:rsidRDefault="00BD0C55" w:rsidP="00BD0C55">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w:t>
      </w:r>
      <w:r w:rsidR="00620FA3">
        <w:rPr>
          <w:rFonts w:ascii="Calibri" w:eastAsia="新細明體" w:hAnsi="Calibri"/>
          <w:sz w:val="22"/>
          <w:szCs w:val="22"/>
          <w:lang w:eastAsia="zh-TW"/>
        </w:rPr>
        <w:t xml:space="preserve"> TS 23.501 subclause 5.35.2</w:t>
      </w:r>
      <w:r w:rsidR="00E131FC">
        <w:rPr>
          <w:rFonts w:ascii="Calibri" w:eastAsia="新細明體" w:hAnsi="Calibri"/>
          <w:sz w:val="22"/>
          <w:szCs w:val="22"/>
          <w:lang w:eastAsia="zh-TW"/>
        </w:rPr>
        <w:t xml:space="preserve"> </w:t>
      </w:r>
      <w:r w:rsidR="00620FA3">
        <w:rPr>
          <w:rFonts w:ascii="Calibri" w:eastAsia="新細明體" w:hAnsi="Calibri"/>
          <w:sz w:val="22"/>
          <w:szCs w:val="22"/>
          <w:lang w:eastAsia="zh-TW"/>
        </w:rPr>
        <w:t>--</w:t>
      </w:r>
    </w:p>
    <w:p w14:paraId="78D37DCD" w14:textId="2952DFAB" w:rsidR="00BD0C55" w:rsidRPr="00BD0C55" w:rsidRDefault="00BD0C55" w:rsidP="00BD0C55">
      <w:pPr>
        <w:rPr>
          <w:i/>
          <w:iCs/>
        </w:rPr>
      </w:pPr>
      <w:r w:rsidRPr="00BD0C55">
        <w:rPr>
          <w:i/>
          <w:iCs/>
        </w:rPr>
        <w:t xml:space="preserve">In IAB operation, the IAB-UE interacts with the 5GC using procedures defined for UE. The IAB-node </w:t>
      </w:r>
      <w:proofErr w:type="spellStart"/>
      <w:r w:rsidRPr="00BD0C55">
        <w:rPr>
          <w:i/>
          <w:iCs/>
        </w:rPr>
        <w:t>gNB</w:t>
      </w:r>
      <w:proofErr w:type="spellEnd"/>
      <w:r w:rsidRPr="00BD0C55">
        <w:rPr>
          <w:i/>
          <w:iCs/>
        </w:rPr>
        <w:t>-DU only interacts with the IAB-donor-CU and follows the CU/DU design defined in TS 38.401.</w:t>
      </w:r>
    </w:p>
    <w:p w14:paraId="648E2A5D" w14:textId="4A4BDB48" w:rsidR="00BD0C55" w:rsidRPr="00BD0C55" w:rsidRDefault="00BD0C55" w:rsidP="00BD0C55">
      <w:pPr>
        <w:rPr>
          <w:i/>
          <w:iCs/>
        </w:rPr>
      </w:pPr>
      <w:r w:rsidRPr="00BD0C55">
        <w:rPr>
          <w:i/>
          <w:iCs/>
        </w:rPr>
        <w:t>For the IAB-UE operation, the existing UE authentication methods as defined in TS 33.501 applies. Both USIM based methods and EAP based methods are allowed, and NAI based SUPIs can be used.</w:t>
      </w:r>
    </w:p>
    <w:p w14:paraId="3CFC2C98" w14:textId="77777777" w:rsidR="00BD0C55" w:rsidRPr="00BD0C55" w:rsidRDefault="00BD0C55" w:rsidP="00BD0C55">
      <w:pPr>
        <w:rPr>
          <w:i/>
          <w:iCs/>
        </w:rPr>
      </w:pPr>
      <w:r w:rsidRPr="00BD0C55">
        <w:rPr>
          <w:i/>
          <w:iCs/>
        </w:rPr>
        <w:t>The following aspects are enhanced to support the IAB operation:</w:t>
      </w:r>
    </w:p>
    <w:p w14:paraId="314791E5" w14:textId="1D2864C7" w:rsidR="00BD0C55" w:rsidRPr="00BD0C55" w:rsidRDefault="00BD0C55" w:rsidP="00BD0C55">
      <w:pPr>
        <w:pStyle w:val="B1"/>
        <w:rPr>
          <w:i/>
          <w:iCs/>
        </w:rPr>
      </w:pPr>
      <w:r w:rsidRPr="00BD0C55">
        <w:rPr>
          <w:i/>
          <w:iCs/>
        </w:rPr>
        <w:t>-</w:t>
      </w:r>
      <w:r w:rsidRPr="00BD0C55">
        <w:rPr>
          <w:i/>
          <w:iCs/>
        </w:rPr>
        <w:tab/>
        <w:t xml:space="preserve">the Registration procedure as defined in clause 4.2.2.2 of TS 23.502 is enhanced to indicate IAB-node's capability to the </w:t>
      </w:r>
      <w:proofErr w:type="gramStart"/>
      <w:r w:rsidRPr="00BD0C55">
        <w:rPr>
          <w:i/>
          <w:iCs/>
        </w:rPr>
        <w:t>AMF;</w:t>
      </w:r>
      <w:proofErr w:type="gramEnd"/>
    </w:p>
    <w:p w14:paraId="21B4CD65" w14:textId="68D46CA3" w:rsidR="00BD0C55" w:rsidRPr="00BD0C55" w:rsidRDefault="00BD0C55" w:rsidP="00BD0C55">
      <w:pPr>
        <w:pStyle w:val="B1"/>
        <w:rPr>
          <w:i/>
          <w:iCs/>
        </w:rPr>
      </w:pPr>
      <w:r w:rsidRPr="00BD0C55">
        <w:rPr>
          <w:i/>
          <w:iCs/>
        </w:rPr>
        <w:t>-</w:t>
      </w:r>
      <w:r w:rsidRPr="00BD0C55">
        <w:rPr>
          <w:i/>
          <w:iCs/>
        </w:rPr>
        <w:tab/>
        <w:t xml:space="preserve">The IAB-node provides an IAB-indication to the IAB-donor-CU when the RRC connection is established as defined in TS 38.331. When the IAB-indication is received, the IAB-donor-CU selects an AMF that supports IAB </w:t>
      </w:r>
      <w:r w:rsidRPr="00BD0C55">
        <w:rPr>
          <w:i/>
          <w:iCs/>
        </w:rPr>
        <w:lastRenderedPageBreak/>
        <w:t>and includes the IAB-indication in the N2 INITIAL UE MESSAGE as defined in TS 38.413 so that the AMF can perform IAB authorization.</w:t>
      </w:r>
    </w:p>
    <w:p w14:paraId="30384EF2" w14:textId="0DB9464E" w:rsidR="00BD0C55" w:rsidRPr="00BD0C55" w:rsidRDefault="00BD0C55" w:rsidP="00BD0C55">
      <w:pPr>
        <w:pStyle w:val="B1"/>
        <w:rPr>
          <w:i/>
          <w:iCs/>
        </w:rPr>
      </w:pPr>
      <w:r w:rsidRPr="00BD0C55">
        <w:rPr>
          <w:i/>
          <w:iCs/>
        </w:rPr>
        <w:t>-</w:t>
      </w:r>
      <w:r w:rsidRPr="00BD0C55">
        <w:rPr>
          <w:i/>
          <w:iCs/>
        </w:rPr>
        <w:tab/>
        <w:t xml:space="preserve">the UE Subscription data as defined in clause 5.2.3 of TS 23.502 is enhanced to include the authorization information for the IAB </w:t>
      </w:r>
      <w:proofErr w:type="gramStart"/>
      <w:r w:rsidRPr="00BD0C55">
        <w:rPr>
          <w:i/>
          <w:iCs/>
        </w:rPr>
        <w:t>operation;</w:t>
      </w:r>
      <w:proofErr w:type="gramEnd"/>
    </w:p>
    <w:p w14:paraId="7B3956AD" w14:textId="77777777" w:rsidR="00BD0C55" w:rsidRPr="00BD0C55" w:rsidRDefault="00BD0C55" w:rsidP="00BD0C55">
      <w:pPr>
        <w:pStyle w:val="B1"/>
        <w:rPr>
          <w:i/>
          <w:iCs/>
        </w:rPr>
      </w:pPr>
      <w:r w:rsidRPr="00BD0C55">
        <w:rPr>
          <w:i/>
          <w:iCs/>
        </w:rPr>
        <w:t>-</w:t>
      </w:r>
      <w:r w:rsidRPr="00BD0C55">
        <w:rPr>
          <w:i/>
          <w:iCs/>
        </w:rPr>
        <w:tab/>
        <w:t xml:space="preserve">Authorization procedure during the UE Registration procedure is enhanced to perform verification of IAB subscription </w:t>
      </w:r>
      <w:proofErr w:type="gramStart"/>
      <w:r w:rsidRPr="00BD0C55">
        <w:rPr>
          <w:i/>
          <w:iCs/>
        </w:rPr>
        <w:t>information;</w:t>
      </w:r>
      <w:proofErr w:type="gramEnd"/>
    </w:p>
    <w:p w14:paraId="61BF36F6" w14:textId="77777777" w:rsidR="00BD0C55" w:rsidRPr="00BD0C55" w:rsidRDefault="00BD0C55" w:rsidP="00BD0C55">
      <w:pPr>
        <w:pStyle w:val="B1"/>
        <w:rPr>
          <w:i/>
          <w:iCs/>
        </w:rPr>
      </w:pPr>
      <w:r w:rsidRPr="00BD0C55">
        <w:rPr>
          <w:i/>
          <w:iCs/>
        </w:rPr>
        <w:t>-</w:t>
      </w:r>
      <w:r w:rsidRPr="00BD0C55">
        <w:rPr>
          <w:i/>
          <w:iCs/>
        </w:rPr>
        <w:tab/>
        <w:t>UE Context setup/modification procedure is enhanced to provide IAB authorized indication to NG-RAN.</w:t>
      </w:r>
    </w:p>
    <w:p w14:paraId="7FAC6EFA" w14:textId="216B86F3" w:rsidR="00BD0C55" w:rsidRPr="00BD0C55" w:rsidRDefault="00BD0C55" w:rsidP="00BD0C55">
      <w:pPr>
        <w:rPr>
          <w:i/>
          <w:iCs/>
        </w:rPr>
      </w:pPr>
      <w:r w:rsidRPr="00BD0C55">
        <w:rPr>
          <w:i/>
          <w:iCs/>
        </w:rPr>
        <w:t>After registered to the 5G system, the IAB-node remains in CM-CONNECTED state. In the case of radio link failure, the IAB-UE uses existing UE procedure to restore the connection with the network. The IAB-UE uses Deregistration Procedure as defined in clause 4.2.2.3 of TS 23.502 to disconnect from the network.</w:t>
      </w:r>
    </w:p>
    <w:p w14:paraId="70A3EF8E" w14:textId="02420903" w:rsidR="00BD0C55" w:rsidRPr="00BD0C55" w:rsidRDefault="00BD0C55" w:rsidP="00BD0C55">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w:t>
      </w:r>
    </w:p>
    <w:p w14:paraId="4736B0B3" w14:textId="36D469CA" w:rsidR="00AA6D18" w:rsidRDefault="005C52DE" w:rsidP="00BD0C55">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From our point of view, both IAB-UE solution and legacy UE solution are the same.</w:t>
      </w:r>
      <w:r w:rsidR="00CC08D8">
        <w:rPr>
          <w:rFonts w:ascii="Calibri" w:eastAsia="新細明體" w:hAnsi="Calibri" w:hint="eastAsia"/>
          <w:sz w:val="22"/>
          <w:szCs w:val="22"/>
          <w:lang w:eastAsia="zh-TW"/>
        </w:rPr>
        <w:t xml:space="preserve"> Th</w:t>
      </w:r>
      <w:r w:rsidR="00CC08D8">
        <w:rPr>
          <w:rFonts w:ascii="Calibri" w:eastAsia="新細明體" w:hAnsi="Calibri"/>
          <w:sz w:val="22"/>
          <w:szCs w:val="22"/>
          <w:lang w:eastAsia="zh-TW"/>
        </w:rPr>
        <w:t>erefore, it is obviously that NCR can reuse the same solution for authorization</w:t>
      </w:r>
      <w:r w:rsidR="00E131FC">
        <w:rPr>
          <w:rFonts w:ascii="Calibri" w:eastAsia="新細明體" w:hAnsi="Calibri"/>
          <w:sz w:val="22"/>
          <w:szCs w:val="22"/>
          <w:lang w:eastAsia="zh-TW"/>
        </w:rPr>
        <w:t xml:space="preserve"> as baseline</w:t>
      </w:r>
      <w:r w:rsidR="00CC08D8">
        <w:rPr>
          <w:rFonts w:ascii="Calibri" w:eastAsia="新細明體" w:hAnsi="Calibri"/>
          <w:sz w:val="22"/>
          <w:szCs w:val="22"/>
          <w:lang w:eastAsia="zh-TW"/>
        </w:rPr>
        <w:t xml:space="preserve">. As </w:t>
      </w:r>
      <w:proofErr w:type="gramStart"/>
      <w:r w:rsidR="00CC08D8">
        <w:rPr>
          <w:rFonts w:ascii="Calibri" w:eastAsia="新細明體" w:hAnsi="Calibri"/>
          <w:sz w:val="22"/>
          <w:szCs w:val="22"/>
          <w:lang w:eastAsia="zh-TW"/>
        </w:rPr>
        <w:t>a</w:t>
      </w:r>
      <w:proofErr w:type="gramEnd"/>
      <w:r w:rsidR="00CC08D8">
        <w:rPr>
          <w:rFonts w:ascii="Calibri" w:eastAsia="新細明體" w:hAnsi="Calibri"/>
          <w:sz w:val="22"/>
          <w:szCs w:val="22"/>
          <w:lang w:eastAsia="zh-TW"/>
        </w:rPr>
        <w:t xml:space="preserve"> NCR, there is no need to perform function like r</w:t>
      </w:r>
      <w:r w:rsidR="00CC08D8" w:rsidRPr="00CC08D8">
        <w:rPr>
          <w:rFonts w:ascii="Calibri" w:eastAsia="新細明體" w:hAnsi="Calibri"/>
          <w:sz w:val="22"/>
          <w:szCs w:val="22"/>
          <w:lang w:eastAsia="zh-TW"/>
        </w:rPr>
        <w:t>outing</w:t>
      </w:r>
      <w:r w:rsidR="00CC08D8">
        <w:rPr>
          <w:rFonts w:ascii="Calibri" w:eastAsia="新細明體" w:hAnsi="Calibri"/>
          <w:sz w:val="22"/>
          <w:szCs w:val="22"/>
          <w:lang w:eastAsia="zh-TW"/>
        </w:rPr>
        <w:t>, f</w:t>
      </w:r>
      <w:r w:rsidR="00CC08D8" w:rsidRPr="00CC08D8">
        <w:rPr>
          <w:rFonts w:ascii="Calibri" w:eastAsia="新細明體" w:hAnsi="Calibri"/>
          <w:sz w:val="22"/>
          <w:szCs w:val="22"/>
          <w:lang w:eastAsia="zh-TW"/>
        </w:rPr>
        <w:t>low control feedback signalling</w:t>
      </w:r>
      <w:r w:rsidR="00CC08D8">
        <w:rPr>
          <w:rFonts w:ascii="Calibri" w:eastAsia="新細明體" w:hAnsi="Calibri"/>
          <w:sz w:val="22"/>
          <w:szCs w:val="22"/>
          <w:lang w:eastAsia="zh-TW"/>
        </w:rPr>
        <w:t xml:space="preserve">, </w:t>
      </w:r>
      <w:r w:rsidR="00CC08D8" w:rsidRPr="00CC08D8">
        <w:rPr>
          <w:rFonts w:ascii="Calibri" w:eastAsia="新細明體" w:hAnsi="Calibri"/>
          <w:sz w:val="22"/>
          <w:szCs w:val="22"/>
          <w:lang w:eastAsia="zh-TW"/>
        </w:rPr>
        <w:t>BH RLF notification</w:t>
      </w:r>
      <w:r w:rsidR="00CC08D8">
        <w:rPr>
          <w:rFonts w:ascii="Calibri" w:eastAsia="新細明體" w:hAnsi="Calibri"/>
          <w:sz w:val="22"/>
          <w:szCs w:val="22"/>
          <w:lang w:eastAsia="zh-TW"/>
        </w:rPr>
        <w:t xml:space="preserve"> as IAB-DU does [3]. In our opinions, NCR can be treated as a UE-like device</w:t>
      </w:r>
      <w:r w:rsidR="00E131FC">
        <w:rPr>
          <w:rFonts w:ascii="Calibri" w:eastAsia="新細明體" w:hAnsi="Calibri"/>
          <w:sz w:val="22"/>
          <w:szCs w:val="22"/>
          <w:lang w:eastAsia="zh-TW"/>
        </w:rPr>
        <w:t xml:space="preserve"> with further enhancement on signalling reduction.</w:t>
      </w:r>
    </w:p>
    <w:p w14:paraId="6F76C5AE" w14:textId="13F20F67" w:rsidR="009870FF" w:rsidRPr="005B0067" w:rsidRDefault="00E131FC" w:rsidP="00FA00A0">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2: </w:t>
      </w:r>
      <w:r>
        <w:rPr>
          <w:rFonts w:ascii="Calibri" w:eastAsia="新細明體" w:hAnsi="Calibri" w:hint="eastAsia"/>
          <w:b/>
          <w:bCs/>
          <w:sz w:val="22"/>
          <w:szCs w:val="22"/>
          <w:lang w:eastAsia="zh-TW"/>
        </w:rPr>
        <w:t>F</w:t>
      </w:r>
      <w:r>
        <w:rPr>
          <w:rFonts w:ascii="Calibri" w:eastAsia="新細明體" w:hAnsi="Calibri"/>
          <w:b/>
          <w:bCs/>
          <w:sz w:val="22"/>
          <w:szCs w:val="22"/>
          <w:lang w:eastAsia="zh-TW"/>
        </w:rPr>
        <w:t>rom RAN2 point of view, legacy UE authorization method can be a baseline, RAN2 to further study how to enhance signalling reduction.</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62E443BD" w14:textId="62E15E3C" w:rsidR="001320B5" w:rsidRDefault="00076A06" w:rsidP="001320B5">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roposal 1: RAN2 to study both NCR with and without SIM card scenarios.</w:t>
      </w:r>
    </w:p>
    <w:p w14:paraId="69793A96" w14:textId="0A6933B1" w:rsidR="005B0067" w:rsidRPr="005B0067" w:rsidRDefault="00CC08D8" w:rsidP="001320B5">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2: </w:t>
      </w:r>
      <w:r w:rsidR="00D57E64">
        <w:rPr>
          <w:rFonts w:ascii="Calibri" w:eastAsia="新細明體" w:hAnsi="Calibri" w:hint="eastAsia"/>
          <w:b/>
          <w:bCs/>
          <w:sz w:val="22"/>
          <w:szCs w:val="22"/>
          <w:lang w:eastAsia="zh-TW"/>
        </w:rPr>
        <w:t>F</w:t>
      </w:r>
      <w:r w:rsidR="00D57E64">
        <w:rPr>
          <w:rFonts w:ascii="Calibri" w:eastAsia="新細明體" w:hAnsi="Calibri"/>
          <w:b/>
          <w:bCs/>
          <w:sz w:val="22"/>
          <w:szCs w:val="22"/>
          <w:lang w:eastAsia="zh-TW"/>
        </w:rPr>
        <w:t xml:space="preserve">rom RAN2 point of view, </w:t>
      </w:r>
      <w:r w:rsidR="00E131FC">
        <w:rPr>
          <w:rFonts w:ascii="Calibri" w:eastAsia="新細明體" w:hAnsi="Calibri"/>
          <w:b/>
          <w:bCs/>
          <w:sz w:val="22"/>
          <w:szCs w:val="22"/>
          <w:lang w:eastAsia="zh-TW"/>
        </w:rPr>
        <w:t>legacy UE</w:t>
      </w:r>
      <w:r>
        <w:rPr>
          <w:rFonts w:ascii="Calibri" w:eastAsia="新細明體" w:hAnsi="Calibri"/>
          <w:b/>
          <w:bCs/>
          <w:sz w:val="22"/>
          <w:szCs w:val="22"/>
          <w:lang w:eastAsia="zh-TW"/>
        </w:rPr>
        <w:t xml:space="preserve"> authorization method </w:t>
      </w:r>
      <w:r w:rsidR="00E131FC">
        <w:rPr>
          <w:rFonts w:ascii="Calibri" w:eastAsia="新細明體" w:hAnsi="Calibri"/>
          <w:b/>
          <w:bCs/>
          <w:sz w:val="22"/>
          <w:szCs w:val="22"/>
          <w:lang w:eastAsia="zh-TW"/>
        </w:rPr>
        <w:t>can be a baseline, RAN2 to further study how to enhance signalling reduction</w:t>
      </w:r>
      <w:r>
        <w:rPr>
          <w:rFonts w:ascii="Calibri" w:eastAsia="新細明體" w:hAnsi="Calibri"/>
          <w:b/>
          <w:bCs/>
          <w:sz w:val="22"/>
          <w:szCs w:val="22"/>
          <w:lang w:eastAsia="zh-TW"/>
        </w:rPr>
        <w:t>.</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792FFDB3"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C87716">
        <w:rPr>
          <w:rFonts w:ascii="Calibri" w:eastAsia="新細明體" w:hAnsi="Calibri"/>
          <w:sz w:val="22"/>
          <w:szCs w:val="22"/>
          <w:lang w:eastAsia="en-US"/>
        </w:rPr>
        <w:fldChar w:fldCharType="begin"/>
      </w:r>
      <w:r w:rsidR="0085684C">
        <w:rPr>
          <w:rFonts w:ascii="Calibri" w:eastAsia="新細明體" w:hAnsi="Calibri"/>
          <w:sz w:val="22"/>
          <w:szCs w:val="22"/>
          <w:lang w:eastAsia="en-US"/>
        </w:rPr>
        <w:instrText>HYPERLINK "https://www.3gpp.org/ftp/tsg_ran/TSG_RAN/TSGR_94e/Docs/RP-213592.zip"</w:instrText>
      </w:r>
      <w:r w:rsidR="00C87716">
        <w:rPr>
          <w:rFonts w:ascii="Calibri" w:eastAsia="新細明體" w:hAnsi="Calibri"/>
          <w:sz w:val="22"/>
          <w:szCs w:val="22"/>
          <w:lang w:eastAsia="en-US"/>
        </w:rPr>
        <w:fldChar w:fldCharType="separate"/>
      </w:r>
      <w:r w:rsidR="00C87716" w:rsidRPr="00C87716">
        <w:rPr>
          <w:rStyle w:val="af0"/>
          <w:rFonts w:ascii="Calibri" w:eastAsia="新細明體" w:hAnsi="Calibri"/>
          <w:sz w:val="22"/>
          <w:szCs w:val="22"/>
          <w:lang w:eastAsia="en-US"/>
        </w:rPr>
        <w:t>RP-2135</w:t>
      </w:r>
      <w:r w:rsidR="0085684C">
        <w:rPr>
          <w:rStyle w:val="af0"/>
          <w:rFonts w:ascii="Calibri" w:eastAsia="新細明體" w:hAnsi="Calibri"/>
          <w:sz w:val="22"/>
          <w:szCs w:val="22"/>
          <w:lang w:eastAsia="en-US"/>
        </w:rPr>
        <w:t>92</w:t>
      </w:r>
      <w:r w:rsidR="00C87716">
        <w:rPr>
          <w:rFonts w:ascii="Calibri" w:eastAsia="新細明體" w:hAnsi="Calibri"/>
          <w:sz w:val="22"/>
          <w:szCs w:val="22"/>
          <w:lang w:eastAsia="en-US"/>
        </w:rPr>
        <w:fldChar w:fldCharType="end"/>
      </w:r>
      <w:r w:rsidR="00C87716">
        <w:rPr>
          <w:rFonts w:ascii="Calibri" w:eastAsia="新細明體" w:hAnsi="Calibri"/>
          <w:sz w:val="22"/>
          <w:szCs w:val="22"/>
          <w:lang w:eastAsia="en-US"/>
        </w:rPr>
        <w:t xml:space="preserve">, </w:t>
      </w:r>
      <w:r w:rsidR="0085684C" w:rsidRPr="0085684C">
        <w:rPr>
          <w:rFonts w:ascii="Calibri" w:eastAsia="新細明體" w:hAnsi="Calibri"/>
          <w:sz w:val="22"/>
          <w:szCs w:val="22"/>
          <w:lang w:eastAsia="en-US"/>
        </w:rPr>
        <w:t>New SI: Study on NR Smart Repeaters</w:t>
      </w:r>
      <w:r w:rsidR="00F20B41">
        <w:rPr>
          <w:rFonts w:ascii="Calibri" w:eastAsia="新細明體" w:hAnsi="Calibri"/>
          <w:sz w:val="22"/>
          <w:szCs w:val="22"/>
          <w:lang w:eastAsia="en-US"/>
        </w:rPr>
        <w:t xml:space="preserve">, </w:t>
      </w:r>
      <w:r w:rsidR="0085684C">
        <w:rPr>
          <w:rFonts w:ascii="Calibri" w:eastAsia="新細明體" w:hAnsi="Calibri" w:hint="eastAsia"/>
          <w:sz w:val="22"/>
          <w:szCs w:val="22"/>
          <w:lang w:eastAsia="zh-TW"/>
        </w:rPr>
        <w:t>ZTE</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5B5855">
        <w:rPr>
          <w:rFonts w:ascii="Calibri" w:eastAsia="新細明體" w:hAnsi="Calibri"/>
          <w:sz w:val="22"/>
          <w:szCs w:val="22"/>
          <w:lang w:eastAsia="en-US"/>
        </w:rPr>
        <w:t>4</w:t>
      </w:r>
      <w:r w:rsidR="00BD2A6D" w:rsidRPr="00BD2A6D">
        <w:rPr>
          <w:rFonts w:ascii="Calibri" w:eastAsia="新細明體" w:hAnsi="Calibri"/>
          <w:sz w:val="22"/>
          <w:szCs w:val="22"/>
          <w:lang w:eastAsia="en-US"/>
        </w:rPr>
        <w:t>e</w:t>
      </w:r>
    </w:p>
    <w:p w14:paraId="01C28463" w14:textId="04AA0212" w:rsidR="00395E10" w:rsidRDefault="008E144B" w:rsidP="00986F01">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[2]</w:t>
      </w:r>
      <w:r>
        <w:rPr>
          <w:rFonts w:ascii="Calibri" w:eastAsia="新細明體" w:hAnsi="Calibri"/>
          <w:sz w:val="22"/>
          <w:szCs w:val="22"/>
          <w:lang w:eastAsia="en-US"/>
        </w:rPr>
        <w:tab/>
      </w:r>
      <w:r w:rsidR="00893036">
        <w:rPr>
          <w:rFonts w:ascii="Calibri" w:eastAsia="新細明體" w:hAnsi="Calibri"/>
          <w:sz w:val="22"/>
          <w:szCs w:val="22"/>
          <w:lang w:eastAsia="en-US"/>
        </w:rPr>
        <w:t>T</w:t>
      </w:r>
      <w:r w:rsidR="00E4163A">
        <w:rPr>
          <w:rFonts w:ascii="Calibri" w:eastAsia="新細明體" w:hAnsi="Calibri"/>
          <w:sz w:val="22"/>
          <w:szCs w:val="22"/>
          <w:lang w:eastAsia="en-US"/>
        </w:rPr>
        <w:t>S</w:t>
      </w:r>
      <w:r w:rsidR="00FA00A0">
        <w:rPr>
          <w:rFonts w:ascii="Calibri" w:eastAsia="新細明體" w:hAnsi="Calibri"/>
          <w:sz w:val="22"/>
          <w:szCs w:val="22"/>
          <w:lang w:eastAsia="en-US"/>
        </w:rPr>
        <w:t xml:space="preserve"> </w:t>
      </w:r>
      <w:r w:rsidR="00E4163A">
        <w:rPr>
          <w:rFonts w:ascii="Calibri" w:eastAsia="新細明體" w:hAnsi="Calibri"/>
          <w:sz w:val="22"/>
          <w:szCs w:val="22"/>
          <w:lang w:eastAsia="en-US"/>
        </w:rPr>
        <w:t>23</w:t>
      </w:r>
      <w:r w:rsidR="00FA00A0">
        <w:rPr>
          <w:rFonts w:ascii="Calibri" w:eastAsia="新細明體" w:hAnsi="Calibri"/>
          <w:sz w:val="22"/>
          <w:szCs w:val="22"/>
          <w:lang w:eastAsia="en-US"/>
        </w:rPr>
        <w:t>.</w:t>
      </w:r>
      <w:r w:rsidR="00E4163A">
        <w:rPr>
          <w:rFonts w:ascii="Calibri" w:eastAsia="新細明體" w:hAnsi="Calibri"/>
          <w:sz w:val="22"/>
          <w:szCs w:val="22"/>
          <w:lang w:eastAsia="en-US"/>
        </w:rPr>
        <w:t>501</w:t>
      </w:r>
    </w:p>
    <w:p w14:paraId="572FE8F3" w14:textId="589D1C82" w:rsidR="009870FF" w:rsidRDefault="009870FF" w:rsidP="00986F01">
      <w:pPr>
        <w:overflowPunct/>
        <w:autoSpaceDE/>
        <w:autoSpaceDN/>
        <w:adjustRightInd/>
        <w:spacing w:after="0"/>
        <w:ind w:left="720" w:hanging="720"/>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3]</w:t>
      </w:r>
      <w:r>
        <w:rPr>
          <w:rFonts w:ascii="Calibri" w:eastAsia="新細明體" w:hAnsi="Calibri"/>
          <w:sz w:val="22"/>
          <w:szCs w:val="22"/>
          <w:lang w:eastAsia="zh-TW"/>
        </w:rPr>
        <w:tab/>
      </w:r>
      <w:r w:rsidR="004A2E6E">
        <w:rPr>
          <w:rFonts w:ascii="Calibri" w:eastAsia="新細明體" w:hAnsi="Calibri" w:hint="eastAsia"/>
          <w:sz w:val="22"/>
          <w:szCs w:val="22"/>
          <w:lang w:eastAsia="zh-TW"/>
        </w:rPr>
        <w:t>TS 38.300</w:t>
      </w:r>
    </w:p>
    <w:p w14:paraId="15DCD91B" w14:textId="77777777" w:rsidR="00421B08" w:rsidRPr="00A32E79" w:rsidRDefault="00421B08" w:rsidP="00421B08">
      <w:pPr>
        <w:overflowPunct/>
        <w:autoSpaceDE/>
        <w:autoSpaceDN/>
        <w:adjustRightInd/>
        <w:spacing w:after="240"/>
        <w:textAlignment w:val="auto"/>
        <w:rPr>
          <w:rFonts w:ascii="Calibri" w:eastAsia="新細明體" w:hAnsi="Calibri"/>
          <w:sz w:val="22"/>
          <w:szCs w:val="22"/>
          <w:lang w:eastAsia="zh-TW"/>
        </w:rPr>
      </w:pPr>
    </w:p>
    <w:sectPr w:rsidR="00421B08" w:rsidRPr="00A32E79"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8F41D" w14:textId="77777777" w:rsidR="0017506D" w:rsidRDefault="0017506D">
      <w:pPr>
        <w:spacing w:after="0"/>
      </w:pPr>
      <w:r>
        <w:separator/>
      </w:r>
    </w:p>
  </w:endnote>
  <w:endnote w:type="continuationSeparator" w:id="0">
    <w:p w14:paraId="0919232D" w14:textId="77777777" w:rsidR="0017506D" w:rsidRDefault="0017506D">
      <w:pPr>
        <w:spacing w:after="0"/>
      </w:pPr>
      <w:r>
        <w:continuationSeparator/>
      </w:r>
    </w:p>
  </w:endnote>
  <w:endnote w:type="continuationNotice" w:id="1">
    <w:p w14:paraId="26C39F3D" w14:textId="77777777" w:rsidR="0017506D" w:rsidRDefault="001750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516CA" w14:textId="77777777" w:rsidR="0017506D" w:rsidRDefault="0017506D">
      <w:pPr>
        <w:spacing w:after="0"/>
      </w:pPr>
      <w:r>
        <w:separator/>
      </w:r>
    </w:p>
  </w:footnote>
  <w:footnote w:type="continuationSeparator" w:id="0">
    <w:p w14:paraId="6326F4D7" w14:textId="77777777" w:rsidR="0017506D" w:rsidRDefault="0017506D">
      <w:pPr>
        <w:spacing w:after="0"/>
      </w:pPr>
      <w:r>
        <w:continuationSeparator/>
      </w:r>
    </w:p>
  </w:footnote>
  <w:footnote w:type="continuationNotice" w:id="1">
    <w:p w14:paraId="552E5B4C" w14:textId="77777777" w:rsidR="0017506D" w:rsidRDefault="001750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FBF449D"/>
    <w:multiLevelType w:val="hybridMultilevel"/>
    <w:tmpl w:val="E99A35C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25"/>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4"/>
  </w:num>
  <w:num w:numId="18">
    <w:abstractNumId w:val="8"/>
  </w:num>
  <w:num w:numId="19">
    <w:abstractNumId w:val="9"/>
  </w:num>
  <w:num w:numId="20">
    <w:abstractNumId w:val="15"/>
  </w:num>
  <w:num w:numId="21">
    <w:abstractNumId w:val="19"/>
  </w:num>
  <w:num w:numId="22">
    <w:abstractNumId w:val="10"/>
  </w:num>
  <w:num w:numId="23">
    <w:abstractNumId w:val="13"/>
  </w:num>
  <w:num w:numId="24">
    <w:abstractNumId w:val="22"/>
  </w:num>
  <w:num w:numId="25">
    <w:abstractNumId w:val="18"/>
  </w:num>
  <w:num w:numId="26">
    <w:abstractNumId w:val="31"/>
  </w:num>
  <w:num w:numId="27">
    <w:abstractNumId w:val="17"/>
  </w:num>
  <w:num w:numId="28">
    <w:abstractNumId w:val="20"/>
  </w:num>
  <w:num w:numId="29">
    <w:abstractNumId w:val="26"/>
  </w:num>
  <w:num w:numId="30">
    <w:abstractNumId w:val="12"/>
  </w:num>
  <w:num w:numId="31">
    <w:abstractNumId w:val="30"/>
  </w:num>
  <w:num w:numId="32">
    <w:abstractNumId w:val="14"/>
  </w:num>
  <w:num w:numId="33">
    <w:abstractNumId w:val="28"/>
  </w:num>
  <w:num w:numId="34">
    <w:abstractNumId w:val="16"/>
  </w:num>
  <w:num w:numId="35">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8D"/>
    <w:rsid w:val="00000AB0"/>
    <w:rsid w:val="00000E60"/>
    <w:rsid w:val="00000ED7"/>
    <w:rsid w:val="0000130A"/>
    <w:rsid w:val="0000155E"/>
    <w:rsid w:val="00001ABB"/>
    <w:rsid w:val="00001B4C"/>
    <w:rsid w:val="00001D15"/>
    <w:rsid w:val="0000212F"/>
    <w:rsid w:val="000021C0"/>
    <w:rsid w:val="00002363"/>
    <w:rsid w:val="00002806"/>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EC7"/>
    <w:rsid w:val="000764F4"/>
    <w:rsid w:val="00076A06"/>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06D"/>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3B5"/>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05D"/>
    <w:rsid w:val="00242386"/>
    <w:rsid w:val="002423CC"/>
    <w:rsid w:val="002427C4"/>
    <w:rsid w:val="00242B19"/>
    <w:rsid w:val="002434F4"/>
    <w:rsid w:val="0024368E"/>
    <w:rsid w:val="002436DC"/>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C9"/>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19E"/>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1AF"/>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E92"/>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2E6E"/>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9BF"/>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2DE"/>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0FA3"/>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11"/>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4C"/>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1DE"/>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1E9D"/>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7B"/>
    <w:rsid w:val="00973A2D"/>
    <w:rsid w:val="00973DED"/>
    <w:rsid w:val="00974BE5"/>
    <w:rsid w:val="0097507C"/>
    <w:rsid w:val="00975115"/>
    <w:rsid w:val="00975E77"/>
    <w:rsid w:val="009769A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1E4"/>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394"/>
    <w:rsid w:val="00AA3C01"/>
    <w:rsid w:val="00AA4162"/>
    <w:rsid w:val="00AA485D"/>
    <w:rsid w:val="00AA4C25"/>
    <w:rsid w:val="00AA4E8E"/>
    <w:rsid w:val="00AA4F33"/>
    <w:rsid w:val="00AA50B4"/>
    <w:rsid w:val="00AA5130"/>
    <w:rsid w:val="00AA522A"/>
    <w:rsid w:val="00AA5C77"/>
    <w:rsid w:val="00AA6164"/>
    <w:rsid w:val="00AA694E"/>
    <w:rsid w:val="00AA6A0E"/>
    <w:rsid w:val="00AA6D18"/>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FB0"/>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C55"/>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8D8"/>
    <w:rsid w:val="00CC0943"/>
    <w:rsid w:val="00CC0A33"/>
    <w:rsid w:val="00CC0A91"/>
    <w:rsid w:val="00CC0BC7"/>
    <w:rsid w:val="00CC0E15"/>
    <w:rsid w:val="00CC15C7"/>
    <w:rsid w:val="00CC1E54"/>
    <w:rsid w:val="00CC210A"/>
    <w:rsid w:val="00CC241D"/>
    <w:rsid w:val="00CC2A12"/>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CE4"/>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57E64"/>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1FC"/>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3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07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32"/>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表段落11"/>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 w:type="character" w:customStyle="1" w:styleId="B1Char">
    <w:name w:val="B1 Char"/>
    <w:rsid w:val="00BD0C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4467</TotalTime>
  <Pages>2</Pages>
  <Words>578</Words>
  <Characters>3295</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CHTTL</cp:lastModifiedBy>
  <cp:revision>235</cp:revision>
  <cp:lastPrinted>2017-05-08T10:55:00Z</cp:lastPrinted>
  <dcterms:created xsi:type="dcterms:W3CDTF">2022-04-01T22:39:00Z</dcterms:created>
  <dcterms:modified xsi:type="dcterms:W3CDTF">2022-08-10T02:28:00Z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